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145</w:t>
      </w:r>
    </w:p>
    <w:p>
      <w:r>
        <w:t>Bundesgericht (BGE), 1968-02-22, DE</w:t>
      </w:r>
    </w:p>
    <w:p>
      <w:r>
        <w:rPr>
          <w:b/>
        </w:rPr>
        <w:t xml:space="preserve">Quelle: </w:t>
      </w:r>
      <w:r>
        <w:t>https://mcp.opencaselaw.ch/entscheid/bge_94 II 145</w:t>
      </w:r>
    </w:p>
    <w:p>
      <w:r>
        <w:t>FR: ATF 94 II 145</w:t>
      </w:r>
    </w:p>
    <w:p>
      <w:r>
        <w:t>IT: DTF 94 II 145</w:t>
      </w:r>
    </w:p>
    <w:p>
      <w:pPr>
        <w:pStyle w:val="Heading2"/>
      </w:pPr>
      <w:r>
        <w:t>Regeste</w:t>
      </w:r>
    </w:p>
    <w:p>
      <w:r>
        <w:t>Regeste Grunddienstbarkeit (Fahrwegrecht); Vereinigung des berechtigten Grundstücks mit einem andern. Die Dienstbarkeit darf nur dann für die Bedürfnisse eines mit dem berechtigten Grundstück vereinigten andern Grundstücks ausgeübt werden, wenn dadurch für den Belasteten keine erhebliche Mehrbelastung entsteht (Art. 739 ZGB) und die Ausübung der Dienstbarkeit zur Befriedigung der veränderten Bedürfnisse im Rahmen des Zweckes bleibt, für den die Dienstbarkeit errichtet wurde.</w:t>
      </w:r>
    </w:p>
    <w:p>
      <w:pPr>
        <w:pStyle w:val="Heading2"/>
      </w:pPr>
      <w:r>
        <w:t>Erwägungen</w:t>
      </w:r>
    </w:p>
    <w:p>
      <w:r>
        <w:rPr>
          <w:b/>
        </w:rPr>
        <w:t>E. 6</w:t>
      </w:r>
    </w:p>
    <w:p>
      <w:r>
        <w:t>Nach der Auffassung der Kommentatoren beurteilt sich die Frage, ob eine Dienstbarkeit auch zugunsten eines zum berechtigten Grundstück hinzuerworbenen Grundstücks ausgeübt werden dürfe, nach Art. 739 ZGB , der bestimmt: "Ändern sich die Bedürfnisse des berechtigten Grundstücks, so darf dem Verpflichteten eine Mehrbelastung nicht zugemutet werden" (WIELAND, N. 2, LEEMANN, N. 6, LIVER, N.21-23 zu Art. 739 ZGB ). Die Auffassung, dass dem Eigentümer des belasteten Grundstücks im Falle der Vereinigung des berechtigten und eines nicht berechtigten Grundstücks keine Mehrbelastung zugemutet werden darf, liegt auch dem Art. 91 Abs. 3 GBV zugrunde, wonach die Vereinigung, falls Grunddienstbarkeiten zugunsten der Grundstücke eingetragen sind, ohne Einwilligung der Eigentümer der belasteten Grundstücke nur stattfinden kann, "wenn durch die Vereinigung keine Vergrösserung der Belastungen eintritt". Als Mehrbelastung im Sinne von Art. 739 ZGB lassen die Kommentatoren auch in diesem Zusammenhang nur eine erhebliche Mehrbelastung gelten (WIELAND, N. 2, LEEMANN, N. 6, LIVER, N. 21 und 22 zu Art. 739 ZGB ; zum Erfordernis der Erheblichkeit im allgemeinen LEEMANN, N. 4, LIVER, N. 31 ff. zu Art. 739). Es ist sehr wohl denkbar, dass die Vereinigung eines dienstbarkeitsberechtigten Grundstücks mit einem anderen Grundstück nicht zu einer unzulässigen Mehrbelastung des Verpflichteten führt. So hätte es sich wohl verhalten, wenn das streitige Wegrecht zugunsten des Grundstücks Nr. 3094 begründet worden wäre und nun auch für den damit zusammengelegten Teil des Grundstücks Nr. 2952 beansprucht würde. Das Fahrwegrecht wurde jedoch zugunsten des früheren Grundstücks Nr. 2952 begründet und war für dessen Bedürfnisse bestimmt. Die Ausdehnung dieses Rechts auf den im Besitz des Beklagten gebliebenen Teil des frühern Grundstücks Nr. 3094 führt unbestreitbar zu einer erheblichen Mehrbelastung der Klägerin, und zwar gilt das auch dann, wenn man den Umfang des Grundstücks Nr. 2952 zur Zeit der Einräumung des Wegrechts und die im Falle einer Überbauung dieses Grundstücks durch einen Ortseinwohner zu erwartende Beanspruchung des BGE 94 II 145 S. 149 Weges in Betracht zieht. Der Fahrweg, auf den die Parteien das streitige Wegrecht heute beziehen, führt nämlich überhaupt nicht zum frühern Grundstück Nr. 2952, sondern erreicht nach den Plänen ziemlich weit (ca. 25 m) unterhalb der Südgrenze dieses Grundstücks das frühere Grundstück Nr. 3094. Von dort führte und führt kein Fahrweg zum frühern Grundstück Nr.2952 Der Dienstbarkeitsvertrag von 1921 sah zugunsten von Nr. 2952 das Recht zur Benützung eines in jener Gegend verlaufenden Fusswegs vor, der später einging. Auch im Falle einer Überbauung des früheren Grundstücks Nr. 2952 war daher nicht mit einer erheblichen Benützung des bestehenden Fahrwegs über Nr. 3091 zu rechnen. (Dagegen wäre der im Vertrag von 1921 erwähnte, zwischen dem bestehenden Fahrweg und dem Terrassenweg anzulegende neue Weg, dessen Benützung das streitige Fahrwegrecht dem Eigentümer von Nr. 2952 eigentlich erlauben sollte, möglicherweise recht intensiv benützt worden, doch wurde dieser neue Weg eben nicht gebaut und hat der Beklagte das Fahrwegrecht von Anfang an nicht dafür, sondern für den bestehenden Weg beansprucht.) Für den im Besitz des Beklagten gebliebenen Teil des früheren Grundstücks Nr. 3094 bedeutet der bestehende Fahrweg über Nr. 3091 demgegenüber die einzige befahrbare Verbindung mit dem öffentlichen Wegnetz. Obwohl auf dem genannten Teil des frühern Grundstücks Nr. 3094 nur ein nicht ganzjährig benütztes (aber immerhin nicht bloss vom Beklagten, sondern zeitweise auch von Gästen oder Mietern bewohntes) Ferienhaus steht, führt die Ausübung des streitigen Fahrwegrechts für Fahrten zu diesem Grundstücksteil und von ihm hinweg also unzweifelhaft zu einer weit stärkeren Belastung des Grundstücks der Klägerin (Nr. 3091), als sie bei Beanspruchung des Fahrwegs für die Bedürfnisse des frühern Grundstücks Nr. 2952 sogar im Falle der Überbauung dieses Grundstücks durch einen ständig dort wohnenden Eigentümer zu erwarten war. Schon aus diesem Grunde darf die zugunsten des frühern Grundstücks Nr. 2952 begründete Wegberechtigung nicht auf die Ferienhausparzelle des Beklagten ausgedehnt werden.</w:t>
      </w:r>
    </w:p>
    <w:p>
      <w:r>
        <w:rPr>
          <w:b/>
        </w:rPr>
        <w:t>E. 7</w:t>
      </w:r>
    </w:p>
    <w:p>
      <w:r>
        <w:t>Der aus Art. 739 ZGB folgende Grundsatz, dass eine unerhebliche Mehrbelastung infolge veränderter Bedürfnisse des berechtigten Grundstücks zu dulden ist, gilt im übrigen nur unter der Voraussetzung, dass die Ausübung der Dienstbarkeit zur Befriedigung der veränderten Bedürfnisse im Rahmen des BGE 94 II 145 S. 150 Zwecks bleibt, für den die Dienstbarkeit errichtet wurde. Die Ausübung zu einem andern, vom ursprünglichen unabhängigen Zweck bedeutet eine Überschreitung des Dienstbarkeitsrechts, die der Belastete nicht zu dulden hat, auch wenn daraus keine Mehrbelastung entsteht (LIVER, N. 2-4 zu Art. 739; vgl. BGE 92 II 94 Erw. 4 mit Hinweisen). Das streitige Wegrecht wurde offensichtlich nur zu dem Zwecke begründet, um dem frühern Grundstück Nr. 2952 eine die direkte Zufahrt vom Terrassenweg aus ergänzende Zufahrt zu verschaffen. Die Ausdehnung der Berechtigung auf das damit vereinigte frühere Grundstück Nr. 3094 liefe auf eine Änderung des ursprünglichen Zwecks der Dienstbarkeit hinaus. Auch deshalb darf sich die Klägerin dieser Ausdehnung widersetzen. Die Vorinstanz hat darum mit Recht die Ausübung des zugunsten des heutigen Grundstücks Nr. 2952 eingetragenen Wegrechts auf den Verkehr zu dem im Besitz des Beklagten gebliebenen Rest des frühern Grundstücks Nr. 2952 beschränkt und dem Beklagten verboten, es zu andern Zwecken auszuüben. Obwohl als berechtigtes Grundstück nur ein Grundstück als Ganzes in Frage kommt, kann die Ausübung einer Dienstbarkeit auf die Befriedigung der Bedürfnisse eines Teils des berechtigten Grundstücks beschränkt werden (LIVER, N. 30 in Verbindung mit N. 24 zu Art. 730 ZBG). An diesem Ergebnis ändert nichts, dass der Beklagte heute von dem ursprünglich etwa 1500 m2 und später noch 495 m2 messenden frühern Grundstück Nr. 2952 nur noch etwa 18 m2 besitzt und dass die Wegberechtigung nicht auf den an Chavannes verkauften Teil dieses Grundstücks übertragen wurde, so dass die Belastung des Grundstücks Nr. 3091 durch die Benützung des streitigen Wegs als Zufahrt zum Gebiet der frühern Parzelle Nr. 2952 abgenommen hat (soweit sie überhaupt je aktuell war). Eine Abnahme der mit der Ausübung der Dienstbarkeit zum ursprünglichen Zweck verbundenen Belastung ist kein Grund dafür, die Ausübung zu einem andern, durch den Inhalt der Dienstbarkeit nicht gedeckten Zwecke zu gestatten. Inwiefern der angefochtene Entscheid die Vorschrift des Art. 743 ZGB über die Teilung des berechtigten Grundstücks verletzen könnte, ist nicht zu sehen. Wenn der Erwerber des vom Beklagten im Jahre 1960 verkauften Teils der damaligen BGE 94 II 145 S. 151 Parzelle Nr. 2952 auf die zu deren Gunsten eingetragene, ihm praktisch nichts nützende Wegberechtigung für seinen Teil verzichtete, so war das seine Sache. Der Beklagte kann daraus nichts zu seinem Vorteil ableiten.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